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16" w:rsidRPr="001403FE" w:rsidRDefault="00744F15">
      <w:pPr>
        <w:rPr>
          <w:sz w:val="32"/>
        </w:rPr>
      </w:pPr>
      <w:r w:rsidRPr="001403FE">
        <w:rPr>
          <w:sz w:val="32"/>
        </w:rPr>
        <w:t>Upon the Burning of Our House, July 10</w:t>
      </w:r>
      <w:r w:rsidRPr="001403FE">
        <w:rPr>
          <w:sz w:val="32"/>
          <w:vertAlign w:val="superscript"/>
        </w:rPr>
        <w:t>th</w:t>
      </w:r>
      <w:r w:rsidRPr="001403FE">
        <w:rPr>
          <w:sz w:val="32"/>
        </w:rPr>
        <w:t xml:space="preserve"> 1666</w:t>
      </w:r>
    </w:p>
    <w:p w:rsidR="00744F15" w:rsidRDefault="00744F15">
      <w:r>
        <w:t>Anne Bradstreet</w:t>
      </w:r>
    </w:p>
    <w:p w:rsidR="00744F15" w:rsidRDefault="00744F15"/>
    <w:p w:rsidR="00744F15" w:rsidRDefault="00744F15" w:rsidP="00744F15">
      <w:pPr>
        <w:ind w:firstLine="720"/>
      </w:pPr>
      <w:r>
        <w:t>In silent night when rest I took</w:t>
      </w:r>
    </w:p>
    <w:p w:rsidR="00744F15" w:rsidRDefault="00744F15" w:rsidP="00744F15">
      <w:pPr>
        <w:ind w:firstLine="720"/>
      </w:pPr>
      <w:r>
        <w:t>For sorrow near I did not look</w:t>
      </w:r>
    </w:p>
    <w:p w:rsidR="00744F15" w:rsidRDefault="00744F15" w:rsidP="00744F15">
      <w:pPr>
        <w:ind w:firstLine="720"/>
      </w:pPr>
      <w:r>
        <w:t xml:space="preserve">I wakened was with </w:t>
      </w:r>
      <w:proofErr w:type="spellStart"/>
      <w:r>
        <w:t>thund’ring</w:t>
      </w:r>
      <w:proofErr w:type="spellEnd"/>
      <w:r>
        <w:t xml:space="preserve"> noise</w:t>
      </w:r>
    </w:p>
    <w:p w:rsidR="00744F15" w:rsidRDefault="00744F15" w:rsidP="00744F15">
      <w:pPr>
        <w:ind w:firstLine="720"/>
      </w:pPr>
      <w:proofErr w:type="gramStart"/>
      <w:r>
        <w:t>And piteous shrieks of dreadful voice.</w:t>
      </w:r>
      <w:proofErr w:type="gramEnd"/>
    </w:p>
    <w:p w:rsidR="00744F15" w:rsidRDefault="00744F15" w:rsidP="00744F15">
      <w:r>
        <w:t>5</w:t>
      </w:r>
      <w:r>
        <w:tab/>
        <w:t xml:space="preserve">That fearful sound </w:t>
      </w:r>
      <w:proofErr w:type="gramStart"/>
      <w:r>
        <w:t>of</w:t>
      </w:r>
      <w:proofErr w:type="gramEnd"/>
      <w:r>
        <w:t xml:space="preserve"> “Fire!” and “Fire!”</w:t>
      </w:r>
    </w:p>
    <w:p w:rsidR="00744F15" w:rsidRDefault="00744F15" w:rsidP="00744F15">
      <w:pPr>
        <w:ind w:firstLine="720"/>
      </w:pPr>
      <w:r>
        <w:t>Let no man know is my desire</w:t>
      </w:r>
      <w:r>
        <w:rPr>
          <w:rStyle w:val="FootnoteReference"/>
        </w:rPr>
        <w:footnoteReference w:id="1"/>
      </w:r>
      <w:r>
        <w:t>.</w:t>
      </w:r>
    </w:p>
    <w:p w:rsidR="00744F15" w:rsidRDefault="00744F15" w:rsidP="00744F15"/>
    <w:p w:rsidR="00744F15" w:rsidRDefault="00744F15" w:rsidP="00744F15">
      <w:pPr>
        <w:ind w:firstLine="720"/>
      </w:pPr>
      <w:r w:rsidRPr="00744F15">
        <w:t xml:space="preserve">I, starting up, the light did spy, </w:t>
      </w:r>
    </w:p>
    <w:p w:rsidR="00744F15" w:rsidRDefault="00744F15" w:rsidP="00744F15">
      <w:pPr>
        <w:ind w:firstLine="720"/>
      </w:pPr>
      <w:r w:rsidRPr="00744F15">
        <w:t xml:space="preserve">And to my God my heart did cry </w:t>
      </w:r>
    </w:p>
    <w:p w:rsidR="00744F15" w:rsidRDefault="00744F15" w:rsidP="00744F15">
      <w:pPr>
        <w:ind w:firstLine="720"/>
      </w:pPr>
      <w:r w:rsidRPr="00744F15">
        <w:t xml:space="preserve">To strengthen me in my distress </w:t>
      </w:r>
    </w:p>
    <w:p w:rsidR="00744F15" w:rsidRDefault="00744F15" w:rsidP="00744F15">
      <w:r>
        <w:t>10</w:t>
      </w:r>
      <w:r>
        <w:tab/>
      </w:r>
      <w:r w:rsidRPr="00744F15">
        <w:t>A</w:t>
      </w:r>
      <w:r>
        <w:t xml:space="preserve">nd not to leave me </w:t>
      </w:r>
      <w:proofErr w:type="spellStart"/>
      <w:r>
        <w:t>succorless</w:t>
      </w:r>
      <w:proofErr w:type="spellEnd"/>
      <w:r>
        <w:rPr>
          <w:rStyle w:val="FootnoteReference"/>
        </w:rPr>
        <w:footnoteReference w:id="2"/>
      </w:r>
      <w:r>
        <w:t>.</w:t>
      </w:r>
    </w:p>
    <w:p w:rsidR="00744F15" w:rsidRDefault="00744F15" w:rsidP="00744F15">
      <w:pPr>
        <w:ind w:firstLine="720"/>
      </w:pPr>
      <w:r w:rsidRPr="00744F15">
        <w:t>Then, coming out, beheld a space</w:t>
      </w:r>
      <w:r>
        <w:rPr>
          <w:rStyle w:val="FootnoteReference"/>
        </w:rPr>
        <w:footnoteReference w:id="3"/>
      </w:r>
      <w:r w:rsidRPr="00744F15">
        <w:t xml:space="preserve"> </w:t>
      </w:r>
    </w:p>
    <w:p w:rsidR="00744F15" w:rsidRPr="00744F15" w:rsidRDefault="00744F15" w:rsidP="00744F15">
      <w:pPr>
        <w:ind w:firstLine="720"/>
      </w:pPr>
      <w:r w:rsidRPr="00744F15">
        <w:t xml:space="preserve">The </w:t>
      </w:r>
      <w:proofErr w:type="gramStart"/>
      <w:r w:rsidRPr="00744F15">
        <w:t>flame consume</w:t>
      </w:r>
      <w:proofErr w:type="gramEnd"/>
      <w:r w:rsidRPr="00744F15">
        <w:t xml:space="preserve"> my dwelling place.</w:t>
      </w:r>
    </w:p>
    <w:p w:rsidR="00744F15" w:rsidRDefault="00744F15" w:rsidP="00744F15"/>
    <w:p w:rsidR="00744F15" w:rsidRDefault="00744F15" w:rsidP="00744F15">
      <w:pPr>
        <w:ind w:firstLine="720"/>
      </w:pPr>
      <w:r w:rsidRPr="00744F15">
        <w:t xml:space="preserve">And when I could no longer look, </w:t>
      </w:r>
    </w:p>
    <w:p w:rsidR="00744F15" w:rsidRDefault="00744F15" w:rsidP="00744F15">
      <w:pPr>
        <w:ind w:firstLine="720"/>
      </w:pPr>
      <w:r w:rsidRPr="00744F15">
        <w:t>I ble</w:t>
      </w:r>
      <w:r>
        <w:t>st His name that gave and took,</w:t>
      </w:r>
      <w:r w:rsidRPr="00744F15">
        <w:t xml:space="preserve"> </w:t>
      </w:r>
    </w:p>
    <w:p w:rsidR="00744F15" w:rsidRDefault="00744F15" w:rsidP="00744F15">
      <w:r>
        <w:t>15</w:t>
      </w:r>
      <w:r>
        <w:tab/>
      </w:r>
      <w:r w:rsidRPr="00744F15">
        <w:t xml:space="preserve">That laid my goods now in the dust: </w:t>
      </w:r>
    </w:p>
    <w:p w:rsidR="00744F15" w:rsidRDefault="00744F15" w:rsidP="00744F15">
      <w:pPr>
        <w:ind w:firstLine="720"/>
      </w:pPr>
      <w:proofErr w:type="gramStart"/>
      <w:r w:rsidRPr="00744F15">
        <w:t>Yea, so it was, and so ’twas just.</w:t>
      </w:r>
      <w:proofErr w:type="gramEnd"/>
      <w:r w:rsidRPr="00744F15">
        <w:t xml:space="preserve"> </w:t>
      </w:r>
    </w:p>
    <w:p w:rsidR="00744F15" w:rsidRDefault="00744F15" w:rsidP="00744F15">
      <w:pPr>
        <w:ind w:firstLine="720"/>
      </w:pPr>
      <w:r w:rsidRPr="00744F15">
        <w:t xml:space="preserve">It was His own, it was not mine, </w:t>
      </w:r>
    </w:p>
    <w:p w:rsidR="00744F15" w:rsidRPr="00744F15" w:rsidRDefault="00744F15" w:rsidP="00744F15">
      <w:pPr>
        <w:ind w:firstLine="720"/>
      </w:pPr>
      <w:r w:rsidRPr="00744F15">
        <w:t>Far be it that I should repine</w:t>
      </w:r>
      <w:r>
        <w:rPr>
          <w:rStyle w:val="FootnoteReference"/>
        </w:rPr>
        <w:footnoteReference w:id="4"/>
      </w:r>
      <w:proofErr w:type="gramStart"/>
      <w:r w:rsidRPr="00744F15">
        <w:t>;</w:t>
      </w:r>
      <w:proofErr w:type="gramEnd"/>
    </w:p>
    <w:p w:rsidR="00744F15" w:rsidRDefault="00744F15" w:rsidP="00744F15"/>
    <w:p w:rsidR="00744F15" w:rsidRDefault="00744F15" w:rsidP="00744F15">
      <w:pPr>
        <w:ind w:firstLine="720"/>
      </w:pPr>
      <w:r w:rsidRPr="00744F15">
        <w:t xml:space="preserve">He might </w:t>
      </w:r>
      <w:proofErr w:type="gramStart"/>
      <w:r w:rsidRPr="00744F15">
        <w:t>of</w:t>
      </w:r>
      <w:proofErr w:type="gramEnd"/>
      <w:r w:rsidRPr="00744F15">
        <w:t xml:space="preserve"> all justly bereft, </w:t>
      </w:r>
    </w:p>
    <w:p w:rsidR="00744F15" w:rsidRDefault="00744F15" w:rsidP="00744F15">
      <w:r>
        <w:t>20</w:t>
      </w:r>
      <w:r>
        <w:tab/>
      </w:r>
      <w:r w:rsidRPr="00744F15">
        <w:t xml:space="preserve">But yet sufficient for us left. </w:t>
      </w:r>
    </w:p>
    <w:p w:rsidR="00744F15" w:rsidRDefault="00744F15" w:rsidP="00744F15">
      <w:pPr>
        <w:ind w:firstLine="720"/>
      </w:pPr>
      <w:r w:rsidRPr="00744F15">
        <w:t xml:space="preserve">When by the ruins oft I past, </w:t>
      </w:r>
    </w:p>
    <w:p w:rsidR="00744F15" w:rsidRDefault="00744F15" w:rsidP="00744F15">
      <w:pPr>
        <w:ind w:firstLine="720"/>
      </w:pPr>
      <w:r w:rsidRPr="00744F15">
        <w:t xml:space="preserve">My sorrowing eyes aside did cast, </w:t>
      </w:r>
    </w:p>
    <w:p w:rsidR="00744F15" w:rsidRDefault="00744F15" w:rsidP="00744F15">
      <w:pPr>
        <w:ind w:firstLine="720"/>
      </w:pPr>
      <w:r w:rsidRPr="00744F15">
        <w:t xml:space="preserve">And here and there the places spy </w:t>
      </w:r>
    </w:p>
    <w:p w:rsidR="00744F15" w:rsidRPr="00744F15" w:rsidRDefault="00744F15" w:rsidP="00744F15">
      <w:pPr>
        <w:ind w:firstLine="720"/>
      </w:pPr>
      <w:r w:rsidRPr="00744F15">
        <w:t>Where oft I sat and long did lie:</w:t>
      </w:r>
    </w:p>
    <w:p w:rsidR="00744F15" w:rsidRDefault="00744F15" w:rsidP="00744F15"/>
    <w:p w:rsidR="00744F15" w:rsidRDefault="00744F15" w:rsidP="00744F15">
      <w:r>
        <w:t>25</w:t>
      </w:r>
      <w:r>
        <w:tab/>
      </w:r>
      <w:r w:rsidRPr="00744F15">
        <w:t xml:space="preserve">Here stood that trunk and </w:t>
      </w:r>
      <w:proofErr w:type="gramStart"/>
      <w:r w:rsidRPr="00744F15">
        <w:t>there</w:t>
      </w:r>
      <w:proofErr w:type="gramEnd"/>
      <w:r w:rsidRPr="00744F15">
        <w:t xml:space="preserve"> that chest, </w:t>
      </w:r>
    </w:p>
    <w:p w:rsidR="00744F15" w:rsidRDefault="00744F15" w:rsidP="00744F15">
      <w:pPr>
        <w:ind w:firstLine="720"/>
      </w:pPr>
      <w:r w:rsidRPr="00744F15">
        <w:t xml:space="preserve">There lay that store I counted best. </w:t>
      </w:r>
    </w:p>
    <w:p w:rsidR="00744F15" w:rsidRDefault="00744F15" w:rsidP="00744F15">
      <w:pPr>
        <w:ind w:left="720"/>
      </w:pPr>
      <w:r w:rsidRPr="00744F15">
        <w:t xml:space="preserve">My pleasant things in ashes lie, </w:t>
      </w:r>
    </w:p>
    <w:p w:rsidR="00744F15" w:rsidRDefault="00744F15" w:rsidP="00744F15">
      <w:pPr>
        <w:ind w:left="720"/>
      </w:pPr>
      <w:r w:rsidRPr="00744F15">
        <w:t xml:space="preserve">And them behold no more shall I. </w:t>
      </w:r>
    </w:p>
    <w:p w:rsidR="00744F15" w:rsidRDefault="00744F15" w:rsidP="00744F15">
      <w:pPr>
        <w:ind w:left="720"/>
      </w:pPr>
      <w:r w:rsidRPr="00744F15">
        <w:t xml:space="preserve">Under thy roof no guest shall sit, </w:t>
      </w:r>
    </w:p>
    <w:p w:rsidR="00744F15" w:rsidRPr="00744F15" w:rsidRDefault="00744F15" w:rsidP="00744F15">
      <w:r>
        <w:t>30</w:t>
      </w:r>
      <w:r>
        <w:tab/>
      </w:r>
      <w:r w:rsidRPr="00744F15">
        <w:t>Nor at thy table eat a bit.</w:t>
      </w:r>
    </w:p>
    <w:p w:rsidR="00744F15" w:rsidRDefault="00744F15" w:rsidP="00744F15"/>
    <w:p w:rsidR="00744F15" w:rsidRDefault="00744F15" w:rsidP="00744F15">
      <w:pPr>
        <w:ind w:firstLine="720"/>
      </w:pPr>
      <w:r w:rsidRPr="00744F15">
        <w:t xml:space="preserve">No pleasant tale shall </w:t>
      </w:r>
      <w:proofErr w:type="spellStart"/>
      <w:r w:rsidRPr="00744F15">
        <w:t>e’er</w:t>
      </w:r>
      <w:proofErr w:type="spellEnd"/>
      <w:r w:rsidRPr="00744F15">
        <w:t xml:space="preserve"> be told, </w:t>
      </w:r>
    </w:p>
    <w:p w:rsidR="00744F15" w:rsidRDefault="00744F15" w:rsidP="00744F15">
      <w:pPr>
        <w:ind w:firstLine="720"/>
      </w:pPr>
      <w:r w:rsidRPr="00744F15">
        <w:t xml:space="preserve">Nor things recounted done of old. </w:t>
      </w:r>
    </w:p>
    <w:p w:rsidR="00744F15" w:rsidRDefault="00744F15" w:rsidP="00744F15">
      <w:pPr>
        <w:ind w:firstLine="720"/>
      </w:pPr>
      <w:r w:rsidRPr="00744F15">
        <w:lastRenderedPageBreak/>
        <w:t xml:space="preserve">No candle </w:t>
      </w:r>
      <w:proofErr w:type="spellStart"/>
      <w:r w:rsidRPr="00744F15">
        <w:t>e’er</w:t>
      </w:r>
      <w:proofErr w:type="spellEnd"/>
      <w:r w:rsidRPr="00744F15">
        <w:t xml:space="preserve"> shall shine in thee, </w:t>
      </w:r>
    </w:p>
    <w:p w:rsidR="00744F15" w:rsidRDefault="00744F15" w:rsidP="00744F15">
      <w:pPr>
        <w:ind w:firstLine="720"/>
      </w:pPr>
      <w:r w:rsidRPr="00744F15">
        <w:t xml:space="preserve">Nor bridegroom’s voice </w:t>
      </w:r>
      <w:proofErr w:type="spellStart"/>
      <w:r w:rsidRPr="00744F15">
        <w:t>e’er</w:t>
      </w:r>
      <w:proofErr w:type="spellEnd"/>
      <w:r w:rsidRPr="00744F15">
        <w:t xml:space="preserve"> heard shall be. </w:t>
      </w:r>
    </w:p>
    <w:p w:rsidR="00744F15" w:rsidRDefault="00744F15" w:rsidP="00744F15">
      <w:r>
        <w:t>35</w:t>
      </w:r>
      <w:r>
        <w:tab/>
      </w:r>
      <w:r w:rsidRPr="00744F15">
        <w:t xml:space="preserve">In silence ever shalt thou </w:t>
      </w:r>
      <w:proofErr w:type="gramStart"/>
      <w:r w:rsidRPr="00744F15">
        <w:t>lie;</w:t>
      </w:r>
      <w:proofErr w:type="gramEnd"/>
      <w:r w:rsidRPr="00744F15">
        <w:t xml:space="preserve"> </w:t>
      </w:r>
    </w:p>
    <w:p w:rsidR="00744F15" w:rsidRPr="00744F15" w:rsidRDefault="00744F15" w:rsidP="00744F15">
      <w:pPr>
        <w:ind w:firstLine="720"/>
      </w:pPr>
      <w:r w:rsidRPr="00744F15">
        <w:t>Adieu, Adieu, all’s vanity</w:t>
      </w:r>
      <w:r>
        <w:rPr>
          <w:rStyle w:val="FootnoteReference"/>
        </w:rPr>
        <w:footnoteReference w:id="5"/>
      </w:r>
      <w:r>
        <w:t>.</w:t>
      </w:r>
    </w:p>
    <w:p w:rsidR="00744F15" w:rsidRDefault="00744F15" w:rsidP="00744F15"/>
    <w:p w:rsidR="00744F15" w:rsidRDefault="00744F15" w:rsidP="00744F15">
      <w:pPr>
        <w:ind w:firstLine="720"/>
      </w:pPr>
      <w:r w:rsidRPr="00744F15">
        <w:t>Then str</w:t>
      </w:r>
      <w:r>
        <w:t>aight I ’gin my heart to chide</w:t>
      </w:r>
      <w:r>
        <w:rPr>
          <w:rStyle w:val="FootnoteReference"/>
        </w:rPr>
        <w:footnoteReference w:id="6"/>
      </w:r>
      <w:r>
        <w:t>,</w:t>
      </w:r>
      <w:r w:rsidRPr="00744F15">
        <w:t xml:space="preserve"> </w:t>
      </w:r>
    </w:p>
    <w:p w:rsidR="00744F15" w:rsidRDefault="00744F15" w:rsidP="00744F15">
      <w:pPr>
        <w:ind w:firstLine="720"/>
      </w:pPr>
      <w:r w:rsidRPr="00744F15">
        <w:t xml:space="preserve">And did thy wealth on earth abide? </w:t>
      </w:r>
    </w:p>
    <w:p w:rsidR="00744F15" w:rsidRDefault="00744F15" w:rsidP="00744F15">
      <w:pPr>
        <w:ind w:left="720"/>
      </w:pPr>
      <w:r w:rsidRPr="00744F15">
        <w:t>Didst fi</w:t>
      </w:r>
      <w:r>
        <w:t xml:space="preserve">x thy hope on </w:t>
      </w:r>
      <w:proofErr w:type="spellStart"/>
      <w:r>
        <w:t>mold’ring</w:t>
      </w:r>
      <w:proofErr w:type="spellEnd"/>
      <w:r>
        <w:t xml:space="preserve"> dust? </w:t>
      </w:r>
    </w:p>
    <w:p w:rsidR="00744F15" w:rsidRDefault="00744F15" w:rsidP="00744F15">
      <w:r>
        <w:t>40</w:t>
      </w:r>
      <w:r>
        <w:tab/>
      </w:r>
      <w:r w:rsidRPr="00744F15">
        <w:t xml:space="preserve">The arm of flesh didst make thy trust? </w:t>
      </w:r>
    </w:p>
    <w:p w:rsidR="00744F15" w:rsidRDefault="00744F15" w:rsidP="00744F15">
      <w:pPr>
        <w:ind w:firstLine="720"/>
      </w:pPr>
      <w:proofErr w:type="gramStart"/>
      <w:r w:rsidRPr="00744F15">
        <w:t>Raise</w:t>
      </w:r>
      <w:proofErr w:type="gramEnd"/>
      <w:r w:rsidRPr="00744F15">
        <w:t xml:space="preserve"> up thy thoughts above the sky </w:t>
      </w:r>
    </w:p>
    <w:p w:rsidR="00744F15" w:rsidRPr="00744F15" w:rsidRDefault="00744F15" w:rsidP="00744F15">
      <w:pPr>
        <w:ind w:firstLine="720"/>
      </w:pPr>
      <w:r w:rsidRPr="00744F15">
        <w:t>That dunghill mists away may fly</w:t>
      </w:r>
    </w:p>
    <w:p w:rsidR="00744F15" w:rsidRPr="00744F15" w:rsidRDefault="00744F15" w:rsidP="00744F15"/>
    <w:p w:rsidR="00744F15" w:rsidRDefault="00744F15" w:rsidP="00744F15">
      <w:pPr>
        <w:ind w:firstLine="720"/>
      </w:pPr>
      <w:r w:rsidRPr="00744F15">
        <w:t xml:space="preserve">Thou hast </w:t>
      </w:r>
      <w:proofErr w:type="gramStart"/>
      <w:r w:rsidRPr="00744F15">
        <w:t>an</w:t>
      </w:r>
      <w:proofErr w:type="gramEnd"/>
      <w:r w:rsidRPr="00744F15">
        <w:t xml:space="preserve"> house on high erect, </w:t>
      </w:r>
    </w:p>
    <w:p w:rsidR="00744F15" w:rsidRDefault="00744F15" w:rsidP="00744F15">
      <w:pPr>
        <w:ind w:firstLine="720"/>
      </w:pPr>
      <w:r w:rsidRPr="00744F15">
        <w:t xml:space="preserve">Framed by that mighty Architect, </w:t>
      </w:r>
    </w:p>
    <w:p w:rsidR="00744F15" w:rsidRDefault="00744F15" w:rsidP="00744F15">
      <w:r>
        <w:t>45</w:t>
      </w:r>
      <w:r>
        <w:tab/>
      </w:r>
      <w:r w:rsidRPr="00744F15">
        <w:t xml:space="preserve">With glory richly </w:t>
      </w:r>
      <w:proofErr w:type="spellStart"/>
      <w:r w:rsidRPr="00744F15">
        <w:t>furnishéd</w:t>
      </w:r>
      <w:proofErr w:type="spellEnd"/>
      <w:r w:rsidRPr="00744F15">
        <w:t xml:space="preserve">, </w:t>
      </w:r>
    </w:p>
    <w:p w:rsidR="00744F15" w:rsidRDefault="00744F15" w:rsidP="00744F15">
      <w:pPr>
        <w:ind w:firstLine="720"/>
      </w:pPr>
      <w:r w:rsidRPr="00744F15">
        <w:t xml:space="preserve">Stands permanent though this </w:t>
      </w:r>
      <w:proofErr w:type="gramStart"/>
      <w:r w:rsidRPr="00744F15">
        <w:t>be</w:t>
      </w:r>
      <w:proofErr w:type="gramEnd"/>
      <w:r w:rsidRPr="00744F15">
        <w:t xml:space="preserve"> fled. </w:t>
      </w:r>
    </w:p>
    <w:p w:rsidR="00744F15" w:rsidRDefault="00744F15" w:rsidP="00744F15">
      <w:pPr>
        <w:ind w:firstLine="720"/>
      </w:pPr>
      <w:r w:rsidRPr="00744F15">
        <w:t xml:space="preserve">It’s </w:t>
      </w:r>
      <w:proofErr w:type="spellStart"/>
      <w:r w:rsidRPr="00744F15">
        <w:t>purchaséd</w:t>
      </w:r>
      <w:proofErr w:type="spellEnd"/>
      <w:r w:rsidRPr="00744F15">
        <w:t xml:space="preserve"> and paid for too </w:t>
      </w:r>
    </w:p>
    <w:p w:rsidR="00744F15" w:rsidRPr="00744F15" w:rsidRDefault="00744F15" w:rsidP="00744F15">
      <w:pPr>
        <w:ind w:firstLine="720"/>
      </w:pPr>
      <w:proofErr w:type="gramStart"/>
      <w:r w:rsidRPr="00744F15">
        <w:t>By Him who hath enough to do.</w:t>
      </w:r>
      <w:proofErr w:type="gramEnd"/>
    </w:p>
    <w:p w:rsidR="00744F15" w:rsidRPr="00744F15" w:rsidRDefault="00744F15" w:rsidP="00744F15"/>
    <w:p w:rsidR="00744F15" w:rsidRDefault="00744F15" w:rsidP="00744F15">
      <w:pPr>
        <w:ind w:firstLine="720"/>
      </w:pPr>
      <w:r w:rsidRPr="00744F15">
        <w:t xml:space="preserve">A price so vast as is unknown </w:t>
      </w:r>
    </w:p>
    <w:p w:rsidR="00744F15" w:rsidRDefault="00744F15" w:rsidP="00744F15">
      <w:r>
        <w:t>50</w:t>
      </w:r>
      <w:r>
        <w:tab/>
      </w:r>
      <w:r w:rsidRPr="00744F15">
        <w:t xml:space="preserve">Yet by His gift is made </w:t>
      </w:r>
      <w:proofErr w:type="spellStart"/>
      <w:r w:rsidRPr="00744F15">
        <w:t>thine</w:t>
      </w:r>
      <w:proofErr w:type="spellEnd"/>
      <w:r w:rsidRPr="00744F15">
        <w:t xml:space="preserve"> own; </w:t>
      </w:r>
    </w:p>
    <w:p w:rsidR="00744F15" w:rsidRDefault="00744F15" w:rsidP="00744F15">
      <w:pPr>
        <w:ind w:firstLine="720"/>
      </w:pPr>
      <w:proofErr w:type="gramStart"/>
      <w:r w:rsidRPr="00744F15">
        <w:t>There’s wealth enough</w:t>
      </w:r>
      <w:proofErr w:type="gramEnd"/>
      <w:r w:rsidRPr="00744F15">
        <w:t xml:space="preserve">, </w:t>
      </w:r>
      <w:proofErr w:type="gramStart"/>
      <w:r w:rsidRPr="00744F15">
        <w:t>I need no more,</w:t>
      </w:r>
      <w:proofErr w:type="gramEnd"/>
      <w:r w:rsidRPr="00744F15">
        <w:t xml:space="preserve"> </w:t>
      </w:r>
    </w:p>
    <w:p w:rsidR="00744F15" w:rsidRDefault="001403FE" w:rsidP="00744F15">
      <w:pPr>
        <w:ind w:firstLine="720"/>
      </w:pPr>
      <w:r>
        <w:t>Farewell, my</w:t>
      </w:r>
      <w:bookmarkStart w:id="0" w:name="_GoBack"/>
      <w:bookmarkEnd w:id="0"/>
      <w:r>
        <w:t xml:space="preserve"> pelf,</w:t>
      </w:r>
      <w:r>
        <w:rPr>
          <w:rStyle w:val="FootnoteReference"/>
        </w:rPr>
        <w:footnoteReference w:id="7"/>
      </w:r>
      <w:r w:rsidR="00744F15" w:rsidRPr="00744F15">
        <w:t xml:space="preserve"> farewell my store. </w:t>
      </w:r>
    </w:p>
    <w:p w:rsidR="00744F15" w:rsidRDefault="00744F15" w:rsidP="00744F15">
      <w:pPr>
        <w:ind w:firstLine="720"/>
      </w:pPr>
      <w:r w:rsidRPr="00744F15">
        <w:t xml:space="preserve">The world no longer let me love, </w:t>
      </w:r>
    </w:p>
    <w:p w:rsidR="00744F15" w:rsidRPr="00744F15" w:rsidRDefault="00744F15" w:rsidP="00744F15">
      <w:pPr>
        <w:ind w:firstLine="720"/>
      </w:pPr>
      <w:r w:rsidRPr="00744F15">
        <w:t>My hope and treasure lies above.</w:t>
      </w:r>
    </w:p>
    <w:p w:rsidR="00744F15" w:rsidRPr="00744F15" w:rsidRDefault="00744F15" w:rsidP="00744F15"/>
    <w:p w:rsidR="00744F15" w:rsidRPr="00744F15" w:rsidRDefault="00744F15" w:rsidP="00744F15"/>
    <w:sectPr w:rsidR="00744F15" w:rsidRPr="00744F15" w:rsidSect="000F16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3FE" w:rsidRDefault="001403FE" w:rsidP="00744F15">
      <w:r>
        <w:separator/>
      </w:r>
    </w:p>
  </w:endnote>
  <w:endnote w:type="continuationSeparator" w:id="0">
    <w:p w:rsidR="001403FE" w:rsidRDefault="001403FE" w:rsidP="0074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3FE" w:rsidRDefault="001403FE" w:rsidP="00744F15">
      <w:r>
        <w:separator/>
      </w:r>
    </w:p>
  </w:footnote>
  <w:footnote w:type="continuationSeparator" w:id="0">
    <w:p w:rsidR="001403FE" w:rsidRDefault="001403FE" w:rsidP="00744F15">
      <w:r>
        <w:continuationSeparator/>
      </w:r>
    </w:p>
  </w:footnote>
  <w:footnote w:id="1">
    <w:p w:rsidR="001403FE" w:rsidRPr="00744F15" w:rsidRDefault="001403FE">
      <w:pPr>
        <w:pStyle w:val="FootnoteText"/>
        <w:rPr>
          <w:rFonts w:ascii="Times" w:eastAsia="Times New Roman" w:hAnsi="Times" w:cs="Times New Roman"/>
          <w:sz w:val="20"/>
          <w:szCs w:val="20"/>
        </w:rPr>
      </w:pPr>
      <w:r w:rsidRPr="00744F15">
        <w:rPr>
          <w:rFonts w:ascii="Times" w:eastAsia="Times New Roman" w:hAnsi="Times" w:cs="Times New Roman"/>
          <w:sz w:val="20"/>
          <w:szCs w:val="20"/>
        </w:rPr>
        <w:footnoteRef/>
      </w:r>
      <w:r w:rsidRPr="00744F15">
        <w:rPr>
          <w:rFonts w:ascii="Times" w:eastAsia="Times New Roman" w:hAnsi="Times" w:cs="Times New Roman"/>
          <w:sz w:val="20"/>
          <w:szCs w:val="20"/>
        </w:rPr>
        <w:t xml:space="preserve"> Let no one imagine that I want to hear</w:t>
      </w:r>
    </w:p>
  </w:footnote>
  <w:footnote w:id="2">
    <w:p w:rsidR="001403FE" w:rsidRPr="00744F15" w:rsidRDefault="001403FE" w:rsidP="00744F15">
      <w:pPr>
        <w:rPr>
          <w:rFonts w:ascii="Times" w:eastAsia="Times New Roman" w:hAnsi="Times" w:cs="Times New Roman"/>
          <w:sz w:val="20"/>
          <w:szCs w:val="20"/>
        </w:rPr>
      </w:pPr>
      <w:r w:rsidRPr="00744F15">
        <w:rPr>
          <w:rFonts w:ascii="Times" w:eastAsia="Times New Roman" w:hAnsi="Times" w:cs="Times New Roman"/>
          <w:sz w:val="20"/>
          <w:szCs w:val="20"/>
        </w:rPr>
        <w:footnoteRef/>
      </w:r>
      <w:r w:rsidRPr="00744F15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proofErr w:type="gramStart"/>
      <w:r w:rsidRPr="001403FE">
        <w:rPr>
          <w:rFonts w:ascii="Times" w:eastAsia="Times New Roman" w:hAnsi="Times" w:cs="Times New Roman"/>
          <w:b/>
          <w:sz w:val="20"/>
          <w:szCs w:val="20"/>
        </w:rPr>
        <w:t>succorless</w:t>
      </w:r>
      <w:proofErr w:type="spellEnd"/>
      <w:proofErr w:type="gramEnd"/>
      <w:r w:rsidRPr="00744F15">
        <w:rPr>
          <w:rFonts w:ascii="Times" w:eastAsia="Times New Roman" w:hAnsi="Times" w:cs="Times New Roman"/>
          <w:sz w:val="20"/>
          <w:szCs w:val="20"/>
        </w:rPr>
        <w:t xml:space="preserve"> (</w:t>
      </w:r>
      <w:proofErr w:type="spellStart"/>
      <w:r w:rsidRPr="00744F15">
        <w:rPr>
          <w:rFonts w:ascii="Times" w:eastAsia="Times New Roman" w:hAnsi="Times" w:cs="Times New Roman"/>
          <w:sz w:val="20"/>
          <w:szCs w:val="20"/>
        </w:rPr>
        <w:t>sOkPEr-lGs</w:t>
      </w:r>
      <w:proofErr w:type="spellEnd"/>
      <w:r w:rsidRPr="00744F15">
        <w:rPr>
          <w:rFonts w:ascii="Times" w:eastAsia="Times New Roman" w:hAnsi="Times" w:cs="Times New Roman"/>
          <w:sz w:val="20"/>
          <w:szCs w:val="20"/>
        </w:rPr>
        <w:t>): without help or relief.</w:t>
      </w:r>
    </w:p>
  </w:footnote>
  <w:footnote w:id="3">
    <w:p w:rsidR="001403FE" w:rsidRPr="00744F15" w:rsidRDefault="001403FE">
      <w:pPr>
        <w:pStyle w:val="FootnoteText"/>
        <w:rPr>
          <w:rFonts w:ascii="Times" w:eastAsia="Times New Roman" w:hAnsi="Times" w:cs="Times New Roman"/>
          <w:sz w:val="20"/>
          <w:szCs w:val="20"/>
        </w:rPr>
      </w:pPr>
      <w:r w:rsidRPr="00744F15">
        <w:rPr>
          <w:rFonts w:ascii="Times" w:eastAsia="Times New Roman" w:hAnsi="Times" w:cs="Times New Roman"/>
          <w:sz w:val="20"/>
          <w:szCs w:val="20"/>
        </w:rPr>
        <w:footnoteRef/>
      </w:r>
      <w:r w:rsidRPr="00744F15">
        <w:rPr>
          <w:rFonts w:ascii="Times" w:eastAsia="Times New Roman" w:hAnsi="Times" w:cs="Times New Roman"/>
          <w:sz w:val="20"/>
          <w:szCs w:val="20"/>
        </w:rPr>
        <w:t xml:space="preserve"> A period of time</w:t>
      </w:r>
    </w:p>
  </w:footnote>
  <w:footnote w:id="4">
    <w:p w:rsidR="001403FE" w:rsidRPr="00744F15" w:rsidRDefault="001403FE" w:rsidP="00744F15">
      <w:pPr>
        <w:rPr>
          <w:rFonts w:ascii="Times" w:eastAsia="Times New Roman" w:hAnsi="Times" w:cs="Times New Roman"/>
          <w:sz w:val="20"/>
          <w:szCs w:val="20"/>
        </w:rPr>
      </w:pPr>
      <w:r w:rsidRPr="00744F15">
        <w:rPr>
          <w:rFonts w:ascii="Times" w:eastAsia="Times New Roman" w:hAnsi="Times" w:cs="Times New Roman"/>
          <w:sz w:val="20"/>
          <w:szCs w:val="20"/>
        </w:rPr>
        <w:footnoteRef/>
      </w:r>
      <w:r w:rsidRPr="00744F15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403FE">
        <w:rPr>
          <w:rFonts w:ascii="Times" w:eastAsia="Times New Roman" w:hAnsi="Times" w:cs="Times New Roman"/>
          <w:b/>
          <w:sz w:val="20"/>
          <w:szCs w:val="20"/>
        </w:rPr>
        <w:t>Repine</w:t>
      </w:r>
      <w:r w:rsidRPr="00744F15">
        <w:rPr>
          <w:rFonts w:ascii="Times" w:eastAsia="Times New Roman" w:hAnsi="Times" w:cs="Times New Roman"/>
          <w:sz w:val="20"/>
          <w:szCs w:val="20"/>
        </w:rPr>
        <w:t>: to complain or fret</w:t>
      </w:r>
      <w:proofErr w:type="gramStart"/>
      <w:r w:rsidRPr="00744F15">
        <w:rPr>
          <w:rFonts w:ascii="Times" w:eastAsia="Times New Roman" w:hAnsi="Times" w:cs="Times New Roman"/>
          <w:sz w:val="20"/>
          <w:szCs w:val="20"/>
        </w:rPr>
        <w:t>;</w:t>
      </w:r>
      <w:proofErr w:type="gramEnd"/>
      <w:r w:rsidRPr="00744F15">
        <w:rPr>
          <w:rFonts w:ascii="Times" w:eastAsia="Times New Roman" w:hAnsi="Times" w:cs="Times New Roman"/>
          <w:sz w:val="20"/>
          <w:szCs w:val="20"/>
        </w:rPr>
        <w:t xml:space="preserve"> to long for something.</w:t>
      </w:r>
    </w:p>
    <w:p w:rsidR="001403FE" w:rsidRDefault="001403FE">
      <w:pPr>
        <w:pStyle w:val="FootnoteText"/>
      </w:pPr>
    </w:p>
  </w:footnote>
  <w:footnote w:id="5">
    <w:p w:rsidR="001403FE" w:rsidRPr="001403FE" w:rsidRDefault="001403FE" w:rsidP="001403FE">
      <w:pPr>
        <w:rPr>
          <w:rFonts w:ascii="Times" w:eastAsia="Times New Roman" w:hAnsi="Times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 w:rsidRPr="001403FE">
        <w:rPr>
          <w:rFonts w:ascii="Times" w:eastAsia="Times New Roman" w:hAnsi="Times" w:cs="Times New Roman"/>
          <w:b/>
          <w:sz w:val="20"/>
          <w:szCs w:val="20"/>
        </w:rPr>
        <w:t>all’s</w:t>
      </w:r>
      <w:proofErr w:type="gramEnd"/>
      <w:r w:rsidRPr="001403FE">
        <w:rPr>
          <w:rFonts w:ascii="Times" w:eastAsia="Times New Roman" w:hAnsi="Times" w:cs="Times New Roman"/>
          <w:b/>
          <w:sz w:val="20"/>
          <w:szCs w:val="20"/>
        </w:rPr>
        <w:t xml:space="preserve"> vanity</w:t>
      </w:r>
      <w:r w:rsidRPr="00744F15">
        <w:rPr>
          <w:rFonts w:ascii="Times" w:eastAsia="Times New Roman" w:hAnsi="Times" w:cs="Times New Roman"/>
          <w:sz w:val="20"/>
          <w:szCs w:val="20"/>
        </w:rPr>
        <w:t>: an allusion to Ecclesiastes 1:2 in the Bible—“All is vanity,” meaning that all is temporary and meaningless</w:t>
      </w:r>
    </w:p>
  </w:footnote>
  <w:footnote w:id="6">
    <w:p w:rsidR="001403FE" w:rsidRPr="001403FE" w:rsidRDefault="001403FE" w:rsidP="001403FE">
      <w:pPr>
        <w:rPr>
          <w:rFonts w:ascii="Times" w:eastAsia="Times New Roman" w:hAnsi="Times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 w:rsidRPr="001403FE">
        <w:rPr>
          <w:rFonts w:ascii="Times" w:eastAsia="Times New Roman" w:hAnsi="Times" w:cs="Times New Roman"/>
          <w:b/>
          <w:sz w:val="20"/>
          <w:szCs w:val="20"/>
        </w:rPr>
        <w:t>chide</w:t>
      </w:r>
      <w:proofErr w:type="gramEnd"/>
      <w:r w:rsidRPr="001403FE">
        <w:rPr>
          <w:rFonts w:ascii="Times" w:eastAsia="Times New Roman" w:hAnsi="Times" w:cs="Times New Roman"/>
          <w:sz w:val="20"/>
          <w:szCs w:val="20"/>
        </w:rPr>
        <w:t>: to scold mildly so as to correct or improve</w:t>
      </w:r>
    </w:p>
  </w:footnote>
  <w:footnote w:id="7">
    <w:p w:rsidR="001403FE" w:rsidRPr="001403FE" w:rsidRDefault="001403FE" w:rsidP="001403FE">
      <w:pPr>
        <w:rPr>
          <w:rFonts w:ascii="Times" w:eastAsia="Times New Roman" w:hAnsi="Times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 w:rsidRPr="001403FE">
        <w:rPr>
          <w:rFonts w:ascii="Times" w:eastAsia="Times New Roman" w:hAnsi="Times" w:cs="Times New Roman"/>
          <w:b/>
          <w:sz w:val="20"/>
          <w:szCs w:val="20"/>
        </w:rPr>
        <w:t>pelf</w:t>
      </w:r>
      <w:proofErr w:type="gramEnd"/>
      <w:r w:rsidRPr="001403FE">
        <w:rPr>
          <w:rFonts w:ascii="Times" w:eastAsia="Times New Roman" w:hAnsi="Times" w:cs="Times New Roman"/>
          <w:b/>
          <w:sz w:val="20"/>
          <w:szCs w:val="20"/>
        </w:rPr>
        <w:t>:</w:t>
      </w:r>
      <w:r w:rsidRPr="001403FE">
        <w:rPr>
          <w:rFonts w:ascii="Times" w:eastAsia="Times New Roman" w:hAnsi="Times" w:cs="Times New Roman"/>
          <w:sz w:val="20"/>
          <w:szCs w:val="20"/>
        </w:rPr>
        <w:t xml:space="preserve"> wealth or riches, especially when dishonestly acquired.</w:t>
      </w:r>
    </w:p>
    <w:p w:rsidR="001403FE" w:rsidRDefault="001403FE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15"/>
    <w:rsid w:val="000F16FD"/>
    <w:rsid w:val="001403FE"/>
    <w:rsid w:val="00744F15"/>
    <w:rsid w:val="00C0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B706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44F15"/>
  </w:style>
  <w:style w:type="character" w:customStyle="1" w:styleId="FootnoteTextChar">
    <w:name w:val="Footnote Text Char"/>
    <w:basedOn w:val="DefaultParagraphFont"/>
    <w:link w:val="FootnoteText"/>
    <w:uiPriority w:val="99"/>
    <w:rsid w:val="00744F15"/>
  </w:style>
  <w:style w:type="character" w:styleId="FootnoteReference">
    <w:name w:val="footnote reference"/>
    <w:basedOn w:val="DefaultParagraphFont"/>
    <w:uiPriority w:val="99"/>
    <w:unhideWhenUsed/>
    <w:rsid w:val="00744F1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44F15"/>
  </w:style>
  <w:style w:type="character" w:customStyle="1" w:styleId="FootnoteTextChar">
    <w:name w:val="Footnote Text Char"/>
    <w:basedOn w:val="DefaultParagraphFont"/>
    <w:link w:val="FootnoteText"/>
    <w:uiPriority w:val="99"/>
    <w:rsid w:val="00744F15"/>
  </w:style>
  <w:style w:type="character" w:styleId="FootnoteReference">
    <w:name w:val="footnote reference"/>
    <w:basedOn w:val="DefaultParagraphFont"/>
    <w:uiPriority w:val="99"/>
    <w:unhideWhenUsed/>
    <w:rsid w:val="00744F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1AFAFE-5287-204B-89BA-E5EE837E8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299</Words>
  <Characters>1707</Characters>
  <Application>Microsoft Macintosh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</dc:creator>
  <cp:keywords/>
  <dc:description/>
  <cp:lastModifiedBy>Ashley</cp:lastModifiedBy>
  <cp:revision>1</cp:revision>
  <dcterms:created xsi:type="dcterms:W3CDTF">2015-08-10T18:05:00Z</dcterms:created>
  <dcterms:modified xsi:type="dcterms:W3CDTF">2015-08-10T19:42:00Z</dcterms:modified>
</cp:coreProperties>
</file>